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E1" w:rsidRPr="00492BE1" w:rsidRDefault="00492BE1" w:rsidP="00492BE1">
      <w:pPr>
        <w:spacing w:before="100" w:beforeAutospacing="1" w:after="100" w:afterAutospacing="1" w:line="240" w:lineRule="auto"/>
        <w:jc w:val="center"/>
        <w:rPr>
          <w:rFonts w:ascii="Arial" w:eastAsia="Times New Roman" w:hAnsi="Arial" w:cs="Arial"/>
          <w:b/>
          <w:bCs/>
          <w:sz w:val="24"/>
          <w:szCs w:val="24"/>
          <w:lang w:eastAsia="pt-BR"/>
        </w:rPr>
      </w:pPr>
      <w:bookmarkStart w:id="0" w:name="_GoBack"/>
      <w:bookmarkEnd w:id="0"/>
      <w:r w:rsidRPr="00492BE1">
        <w:rPr>
          <w:rFonts w:ascii="Arial" w:eastAsia="Times New Roman" w:hAnsi="Arial" w:cs="Arial"/>
          <w:b/>
          <w:bCs/>
          <w:sz w:val="24"/>
          <w:szCs w:val="24"/>
          <w:lang w:eastAsia="pt-BR"/>
        </w:rPr>
        <w:t>DECRETO Nº 47.013, DE 16 DE JUNHO DE 2016</w:t>
      </w:r>
      <w:r w:rsidRPr="00492BE1">
        <w:rPr>
          <w:rFonts w:ascii="Arial" w:eastAsia="Times New Roman" w:hAnsi="Arial" w:cs="Arial"/>
          <w:b/>
          <w:bCs/>
          <w:sz w:val="24"/>
          <w:szCs w:val="24"/>
          <w:lang w:eastAsia="pt-BR"/>
        </w:rPr>
        <w:br/>
        <w:t>(MG de 17/06/2016)</w:t>
      </w:r>
    </w:p>
    <w:p w:rsidR="00492BE1" w:rsidRPr="00492BE1" w:rsidRDefault="00492BE1" w:rsidP="00492BE1">
      <w:pPr>
        <w:spacing w:before="100" w:beforeAutospacing="1" w:after="100" w:afterAutospacing="1" w:line="240" w:lineRule="auto"/>
        <w:ind w:left="2268"/>
        <w:jc w:val="both"/>
        <w:rPr>
          <w:rFonts w:ascii="Arial" w:eastAsia="Times New Roman" w:hAnsi="Arial" w:cs="Arial"/>
          <w:b/>
          <w:bCs/>
          <w:sz w:val="24"/>
          <w:szCs w:val="24"/>
          <w:lang w:eastAsia="pt-BR"/>
        </w:rPr>
      </w:pPr>
      <w:r w:rsidRPr="00492BE1">
        <w:rPr>
          <w:rFonts w:ascii="Arial" w:eastAsia="Times New Roman" w:hAnsi="Arial" w:cs="Arial"/>
          <w:b/>
          <w:bCs/>
          <w:sz w:val="24"/>
          <w:szCs w:val="24"/>
          <w:lang w:eastAsia="pt-BR"/>
        </w:rPr>
        <w:t>Altera o Regulamento do ICMS (RICMS), aprovado pelo Decreto nº 43.080, de 13 de dezembro de 2002, e dá outras providências.</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b/>
          <w:bCs/>
          <w:sz w:val="24"/>
          <w:szCs w:val="24"/>
          <w:lang w:eastAsia="pt-BR"/>
        </w:rPr>
        <w:t>O GOVERNADOR DO ESTADO DE MINAS GERAIS</w:t>
      </w:r>
      <w:r w:rsidRPr="00492BE1">
        <w:rPr>
          <w:rFonts w:ascii="Arial" w:eastAsia="Times New Roman" w:hAnsi="Arial" w:cs="Arial"/>
          <w:sz w:val="24"/>
          <w:szCs w:val="24"/>
          <w:lang w:eastAsia="pt-BR"/>
        </w:rPr>
        <w:t>, no uso de atribuição que lhe confere o inciso VII do art. 90 da Constituição do Estado e tendo em vista o disposto na Lei nº 6.763, de 26 de dezembro de 1975, e nos Protocolos ICMS 5, de 18 de fevereiro de 2016, e ICMS 6, de 18 de fevereiro de 2016, </w:t>
      </w:r>
      <w:r w:rsidRPr="00492BE1">
        <w:rPr>
          <w:rFonts w:ascii="Arial" w:eastAsia="Times New Roman" w:hAnsi="Arial" w:cs="Arial"/>
          <w:b/>
          <w:bCs/>
          <w:sz w:val="24"/>
          <w:szCs w:val="24"/>
          <w:lang w:eastAsia="pt-BR"/>
        </w:rPr>
        <w:t>DECRETA:</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b/>
          <w:bCs/>
          <w:sz w:val="24"/>
          <w:szCs w:val="24"/>
          <w:lang w:eastAsia="pt-BR"/>
        </w:rPr>
        <w:t>Art. 1º</w:t>
      </w:r>
      <w:r w:rsidRPr="00492BE1">
        <w:rPr>
          <w:rFonts w:ascii="Arial" w:eastAsia="Times New Roman" w:hAnsi="Arial" w:cs="Arial"/>
          <w:sz w:val="24"/>
          <w:szCs w:val="24"/>
          <w:lang w:eastAsia="pt-BR"/>
        </w:rPr>
        <w:t> O § 14 do art. 42 do Regulamento do ICMS (RICMS), aprovado pelo Decreto nº 43.080, de 13 de dezembro de 2002, passa a vigorar com a seguinte redação:</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“Art. 42..............................................................................................................................</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 14. O contribuinte enquadrado como microempresa ou empresa de pequeno porte que receber em operação interestadual mercadoria para industrialização, comercialização ou utilização na prestação de serviço fica obrigado a recolher, a título de antecipação do imposto, o valor correspondente à diferença entre a alíquota interna e a alíquota interestadual, observado o disposto no inciso I do § 8º e no § 9º do art. 43 deste Regulamento.” (nr)</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b/>
          <w:bCs/>
          <w:sz w:val="24"/>
          <w:szCs w:val="24"/>
          <w:lang w:eastAsia="pt-BR"/>
        </w:rPr>
        <w:t>Art. 2º</w:t>
      </w:r>
      <w:r w:rsidRPr="00492BE1">
        <w:rPr>
          <w:rFonts w:ascii="Arial" w:eastAsia="Times New Roman" w:hAnsi="Arial" w:cs="Arial"/>
          <w:sz w:val="24"/>
          <w:szCs w:val="24"/>
          <w:lang w:eastAsia="pt-BR"/>
        </w:rPr>
        <w:t> O § 12 do art. 43 do RICMS passa a vigorar com a seguinte alteração:</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“Art. 43..............................................................................................................................</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 12. O disposto nos §§ 8º a 10 aplica-se, também, ao contribuinte enquadrado como microempresa ou empresa de pequeno porte estabelecido neste Estado, na hipótese do inciso VII do art. 1º deste Regulamento.”(nr)</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b/>
          <w:bCs/>
          <w:sz w:val="24"/>
          <w:szCs w:val="24"/>
          <w:lang w:eastAsia="pt-BR"/>
        </w:rPr>
        <w:t>Art. 3º</w:t>
      </w:r>
      <w:r w:rsidRPr="00492BE1">
        <w:rPr>
          <w:rFonts w:ascii="Arial" w:eastAsia="Times New Roman" w:hAnsi="Arial" w:cs="Arial"/>
          <w:sz w:val="24"/>
          <w:szCs w:val="24"/>
          <w:lang w:eastAsia="pt-BR"/>
        </w:rPr>
        <w:t> Os incisos I e II do § 6º do art. 55 do RICMS passam a vigorar com a seguinte redação:</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“Art. 55..............................................................................................................................</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 6º .....................................................................................................................................</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lastRenderedPageBreak/>
        <w:t>I – em se tratando de operação destinada a contribuinte do imposto situado neste Estado, o destinatário da mercadoria ou bem, inclusive a pessoa enquadrada como microempresa ou empresa de pequeno porte;</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II – em se tratando de prestação de serviço destinada a contribuinte do imposto situado neste Estado, o destinatário do serviço, exceto a pessoa enquadrada como microempresa ou empresa de pequeno porte.” (nr)</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b/>
          <w:bCs/>
          <w:sz w:val="24"/>
          <w:szCs w:val="24"/>
          <w:lang w:eastAsia="pt-BR"/>
        </w:rPr>
        <w:t>Art. 4º</w:t>
      </w:r>
      <w:r w:rsidRPr="00492BE1">
        <w:rPr>
          <w:rFonts w:ascii="Arial" w:eastAsia="Times New Roman" w:hAnsi="Arial" w:cs="Arial"/>
          <w:sz w:val="24"/>
          <w:szCs w:val="24"/>
          <w:lang w:eastAsia="pt-BR"/>
        </w:rPr>
        <w:t> O inciso V do art. 18 da Parte 1 do Anexo XV do RICMS passa a vigorar com a seguinte redação:</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“Art. 18..............................................................................................................................</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V – às operações que destinem mercadorias submetidas ao regime de substituição tributária relacionadas nos capítulos 2, 8, 10 a 12, 18 e 19, no capítulo 3, com âmbito de aplicação 3.2, no capítulo 14, com âmbito de aplicação 14.1, no capítulo 15, com âmbito de aplicação 15.1, no capítulo 16, com âmbito de aplicação 16.2, no capítulo 17, com âmbito de aplicação 17.1 e 17.3, no capítulo 20 com âmbito de aplicação 20.1, no capítulo 21, com âmbito de aplicação 21.1 e 21.3, e no capítulo 27, com âmbito de aplicação 27.1, todos da Parte 2 deste Anexo, a contribuinte detentor de regime especial de tributação de atribuição de responsabilidade, na condição de substituto tributário, pela retenção e recolhimento do ICMS devido pelas saídas subsequentes, concedido pelo Superintendente de Tributação.” (nr)</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b/>
          <w:bCs/>
          <w:sz w:val="24"/>
          <w:szCs w:val="24"/>
          <w:lang w:eastAsia="pt-BR"/>
        </w:rPr>
        <w:t>Art. 5º</w:t>
      </w:r>
      <w:r w:rsidRPr="00492BE1">
        <w:rPr>
          <w:rFonts w:ascii="Arial" w:eastAsia="Times New Roman" w:hAnsi="Arial" w:cs="Arial"/>
          <w:sz w:val="24"/>
          <w:szCs w:val="24"/>
          <w:lang w:eastAsia="pt-BR"/>
        </w:rPr>
        <w:t> O § 6º do art. 55 do RICMS passa a vigorar acrescido do inciso III, com a seguinte redação:</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“Art. 55..............................................................................................................................</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 6º .....................................................................................................................................</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III – em se tratando de operação ou prestação de serviço destinada a não contribuinte do imposto, o remetente da mercadoria ou bem ou o prestador do serviço, exceto a pessoa enquadrada como microempresa ou empresa de pequeno porte estabelecida em outra unidade da Federação.”</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b/>
          <w:bCs/>
          <w:sz w:val="24"/>
          <w:szCs w:val="24"/>
          <w:lang w:eastAsia="pt-BR"/>
        </w:rPr>
        <w:t>Art. 6º</w:t>
      </w:r>
      <w:r w:rsidRPr="00492BE1">
        <w:rPr>
          <w:rFonts w:ascii="Arial" w:eastAsia="Times New Roman" w:hAnsi="Arial" w:cs="Arial"/>
          <w:sz w:val="24"/>
          <w:szCs w:val="24"/>
          <w:lang w:eastAsia="pt-BR"/>
        </w:rPr>
        <w:t> O caput do art. 18 da Parte 1 do Anexo XV do RICMS fica acrescido do inciso VI, com a seguinte redação:</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“Art. 18..............................................................................................................................</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lastRenderedPageBreak/>
        <w:t>VI – às mercadorias discriminadas em item da Parte 2 deste Anexo para as quais haja previsão de isenção do ICMS nas operações internas, subsistindo o regime de substituição tributária apenas em relação às demais mercadorias constantes do item.”</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b/>
          <w:bCs/>
          <w:sz w:val="24"/>
          <w:szCs w:val="24"/>
          <w:lang w:eastAsia="pt-BR"/>
        </w:rPr>
        <w:t>Art. 7º</w:t>
      </w:r>
      <w:r w:rsidRPr="00492BE1">
        <w:rPr>
          <w:rFonts w:ascii="Arial" w:eastAsia="Times New Roman" w:hAnsi="Arial" w:cs="Arial"/>
          <w:sz w:val="24"/>
          <w:szCs w:val="24"/>
          <w:lang w:eastAsia="pt-BR"/>
        </w:rPr>
        <w:t> O art. 23 da Parte 1 do Anexo XV do RICMS fica acrescido do § 6º, com a seguinte redação:</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“Art. 23..............................................................................................................................</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 6º O disposto no inciso I do caput não se aplica na saída de mercadoria para outra unidade da federação promovida por microempresa ou empresa de pequeno porte quando destinada a consumidor final não contribuinte, hipótese em que se considera realizado o fato gerador presumido da substituição tributária.”</w:t>
      </w:r>
    </w:p>
    <w:p w:rsidR="00492BE1" w:rsidRPr="00492BE1" w:rsidRDefault="00492BE1" w:rsidP="00492BE1">
      <w:pPr>
        <w:spacing w:before="100" w:beforeAutospacing="1" w:after="100" w:afterAutospacing="1" w:line="240" w:lineRule="auto"/>
        <w:rPr>
          <w:rFonts w:ascii="Arial" w:eastAsia="Times New Roman" w:hAnsi="Arial" w:cs="Arial"/>
          <w:sz w:val="24"/>
          <w:szCs w:val="24"/>
          <w:lang w:eastAsia="pt-BR"/>
        </w:rPr>
      </w:pPr>
      <w:r w:rsidRPr="00492BE1">
        <w:rPr>
          <w:rFonts w:ascii="Arial" w:eastAsia="Times New Roman" w:hAnsi="Arial" w:cs="Arial"/>
          <w:b/>
          <w:bCs/>
          <w:sz w:val="24"/>
          <w:szCs w:val="24"/>
          <w:lang w:eastAsia="pt-BR"/>
        </w:rPr>
        <w:t>Art. 8º</w:t>
      </w:r>
      <w:r w:rsidRPr="00492BE1">
        <w:rPr>
          <w:rFonts w:ascii="Arial" w:eastAsia="Times New Roman" w:hAnsi="Arial" w:cs="Arial"/>
          <w:sz w:val="24"/>
          <w:szCs w:val="24"/>
          <w:lang w:eastAsia="pt-BR"/>
        </w:rPr>
        <w:t>  O item 7.0 do capítulo 3 da Parte 2 do Anexo XV do RICMS passa a vigorar com as seguintes alterações:</w:t>
      </w:r>
    </w:p>
    <w:p w:rsidR="00492BE1" w:rsidRPr="00492BE1" w:rsidRDefault="00492BE1" w:rsidP="00492BE1">
      <w:pPr>
        <w:spacing w:before="100" w:beforeAutospacing="1" w:after="100" w:afterAutospacing="1" w:line="240" w:lineRule="auto"/>
        <w:rPr>
          <w:rFonts w:ascii="Arial" w:eastAsia="Times New Roman" w:hAnsi="Arial" w:cs="Arial"/>
          <w:sz w:val="24"/>
          <w:szCs w:val="24"/>
          <w:lang w:eastAsia="pt-BR"/>
        </w:rPr>
      </w:pPr>
      <w:r w:rsidRPr="00492BE1">
        <w:rPr>
          <w:rFonts w:ascii="Arial" w:eastAsia="Times New Roman" w:hAnsi="Arial" w:cs="Arial"/>
          <w:sz w:val="24"/>
          <w:szCs w:val="24"/>
          <w:lang w:eastAsia="pt-BR"/>
        </w:rPr>
        <w:t>“</w:t>
      </w:r>
    </w:p>
    <w:tbl>
      <w:tblPr>
        <w:tblW w:w="5000" w:type="pct"/>
        <w:jc w:val="center"/>
        <w:tblCellSpacing w:w="7" w:type="dxa"/>
        <w:tblCellMar>
          <w:left w:w="0" w:type="dxa"/>
          <w:right w:w="0" w:type="dxa"/>
        </w:tblCellMar>
        <w:tblLook w:val="04A0" w:firstRow="1" w:lastRow="0" w:firstColumn="1" w:lastColumn="0" w:noHBand="0" w:noVBand="1"/>
      </w:tblPr>
      <w:tblGrid>
        <w:gridCol w:w="635"/>
        <w:gridCol w:w="1036"/>
        <w:gridCol w:w="1147"/>
        <w:gridCol w:w="2247"/>
        <w:gridCol w:w="1332"/>
        <w:gridCol w:w="991"/>
        <w:gridCol w:w="1284"/>
      </w:tblGrid>
      <w:tr w:rsidR="00492BE1" w:rsidRPr="00492BE1" w:rsidTr="00492BE1">
        <w:trPr>
          <w:tblCellSpacing w:w="7" w:type="dxa"/>
          <w:jc w:val="center"/>
        </w:trPr>
        <w:tc>
          <w:tcPr>
            <w:tcW w:w="0" w:type="auto"/>
            <w:vMerge w:val="restart"/>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ITEM</w:t>
            </w:r>
          </w:p>
        </w:tc>
        <w:tc>
          <w:tcPr>
            <w:tcW w:w="0" w:type="auto"/>
            <w:vMerge w:val="restart"/>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CEST</w:t>
            </w:r>
          </w:p>
        </w:tc>
        <w:tc>
          <w:tcPr>
            <w:tcW w:w="0" w:type="auto"/>
            <w:vMerge w:val="restart"/>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NBM/SH</w:t>
            </w:r>
          </w:p>
        </w:tc>
        <w:tc>
          <w:tcPr>
            <w:tcW w:w="0" w:type="auto"/>
            <w:vMerge w:val="restart"/>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DESCRIÇÃO</w:t>
            </w:r>
          </w:p>
        </w:tc>
        <w:tc>
          <w:tcPr>
            <w:tcW w:w="0" w:type="auto"/>
            <w:vMerge w:val="restart"/>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ÂMBITO DE APLICAÇÃO</w:t>
            </w:r>
          </w:p>
        </w:tc>
        <w:tc>
          <w:tcPr>
            <w:tcW w:w="0" w:type="auto"/>
            <w:gridSpan w:val="2"/>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MVA (%)</w:t>
            </w:r>
          </w:p>
        </w:tc>
      </w:tr>
      <w:tr w:rsidR="00492BE1" w:rsidRPr="00492BE1" w:rsidTr="00492BE1">
        <w:trPr>
          <w:tblCellSpacing w:w="7" w:type="dxa"/>
          <w:jc w:val="center"/>
        </w:trPr>
        <w:tc>
          <w:tcPr>
            <w:tcW w:w="0" w:type="auto"/>
            <w:vMerge/>
            <w:shd w:val="clear" w:color="auto" w:fill="EEEEEE"/>
            <w:vAlign w:val="center"/>
            <w:hideMark/>
          </w:tcPr>
          <w:p w:rsidR="00492BE1" w:rsidRPr="00492BE1" w:rsidRDefault="00492BE1" w:rsidP="00492BE1">
            <w:pPr>
              <w:spacing w:after="0" w:line="240" w:lineRule="auto"/>
              <w:rPr>
                <w:rFonts w:ascii="Arial" w:eastAsia="Times New Roman" w:hAnsi="Arial" w:cs="Arial"/>
                <w:b/>
                <w:bCs/>
                <w:color w:val="040404"/>
                <w:sz w:val="24"/>
                <w:szCs w:val="24"/>
                <w:lang w:eastAsia="pt-BR"/>
              </w:rPr>
            </w:pPr>
          </w:p>
        </w:tc>
        <w:tc>
          <w:tcPr>
            <w:tcW w:w="0" w:type="auto"/>
            <w:vMerge/>
            <w:shd w:val="clear" w:color="auto" w:fill="EEEEEE"/>
            <w:vAlign w:val="center"/>
            <w:hideMark/>
          </w:tcPr>
          <w:p w:rsidR="00492BE1" w:rsidRPr="00492BE1" w:rsidRDefault="00492BE1" w:rsidP="00492BE1">
            <w:pPr>
              <w:spacing w:after="0" w:line="240" w:lineRule="auto"/>
              <w:rPr>
                <w:rFonts w:ascii="Arial" w:eastAsia="Times New Roman" w:hAnsi="Arial" w:cs="Arial"/>
                <w:b/>
                <w:bCs/>
                <w:color w:val="040404"/>
                <w:sz w:val="24"/>
                <w:szCs w:val="24"/>
                <w:lang w:eastAsia="pt-BR"/>
              </w:rPr>
            </w:pPr>
          </w:p>
        </w:tc>
        <w:tc>
          <w:tcPr>
            <w:tcW w:w="0" w:type="auto"/>
            <w:vMerge/>
            <w:shd w:val="clear" w:color="auto" w:fill="EEEEEE"/>
            <w:vAlign w:val="center"/>
            <w:hideMark/>
          </w:tcPr>
          <w:p w:rsidR="00492BE1" w:rsidRPr="00492BE1" w:rsidRDefault="00492BE1" w:rsidP="00492BE1">
            <w:pPr>
              <w:spacing w:after="0" w:line="240" w:lineRule="auto"/>
              <w:rPr>
                <w:rFonts w:ascii="Arial" w:eastAsia="Times New Roman" w:hAnsi="Arial" w:cs="Arial"/>
                <w:b/>
                <w:bCs/>
                <w:color w:val="040404"/>
                <w:sz w:val="24"/>
                <w:szCs w:val="24"/>
                <w:lang w:eastAsia="pt-BR"/>
              </w:rPr>
            </w:pPr>
          </w:p>
        </w:tc>
        <w:tc>
          <w:tcPr>
            <w:tcW w:w="0" w:type="auto"/>
            <w:vMerge/>
            <w:shd w:val="clear" w:color="auto" w:fill="EEEEEE"/>
            <w:vAlign w:val="center"/>
            <w:hideMark/>
          </w:tcPr>
          <w:p w:rsidR="00492BE1" w:rsidRPr="00492BE1" w:rsidRDefault="00492BE1" w:rsidP="00492BE1">
            <w:pPr>
              <w:spacing w:after="0" w:line="240" w:lineRule="auto"/>
              <w:rPr>
                <w:rFonts w:ascii="Arial" w:eastAsia="Times New Roman" w:hAnsi="Arial" w:cs="Arial"/>
                <w:b/>
                <w:bCs/>
                <w:color w:val="040404"/>
                <w:sz w:val="24"/>
                <w:szCs w:val="24"/>
                <w:lang w:eastAsia="pt-BR"/>
              </w:rPr>
            </w:pPr>
          </w:p>
        </w:tc>
        <w:tc>
          <w:tcPr>
            <w:tcW w:w="0" w:type="auto"/>
            <w:vMerge/>
            <w:shd w:val="clear" w:color="auto" w:fill="EEEEEE"/>
            <w:vAlign w:val="center"/>
            <w:hideMark/>
          </w:tcPr>
          <w:p w:rsidR="00492BE1" w:rsidRPr="00492BE1" w:rsidRDefault="00492BE1" w:rsidP="00492BE1">
            <w:pPr>
              <w:spacing w:after="0" w:line="240" w:lineRule="auto"/>
              <w:rPr>
                <w:rFonts w:ascii="Arial" w:eastAsia="Times New Roman" w:hAnsi="Arial" w:cs="Arial"/>
                <w:b/>
                <w:bCs/>
                <w:color w:val="040404"/>
                <w:sz w:val="24"/>
                <w:szCs w:val="24"/>
                <w:lang w:eastAsia="pt-BR"/>
              </w:rPr>
            </w:pP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Indústria</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Atacadista/</w:t>
            </w:r>
            <w:r w:rsidRPr="00492BE1">
              <w:rPr>
                <w:rFonts w:ascii="Arial" w:eastAsia="Times New Roman" w:hAnsi="Arial" w:cs="Arial"/>
                <w:b/>
                <w:bCs/>
                <w:color w:val="040404"/>
                <w:sz w:val="24"/>
                <w:szCs w:val="24"/>
                <w:lang w:eastAsia="pt-BR"/>
              </w:rPr>
              <w:br/>
              <w:t>Distribuidor</w:t>
            </w:r>
          </w:p>
        </w:tc>
      </w:tr>
      <w:tr w:rsidR="00492BE1" w:rsidRPr="00492BE1" w:rsidTr="00492BE1">
        <w:trPr>
          <w:tblCellSpacing w:w="7" w:type="dxa"/>
          <w:jc w:val="center"/>
        </w:trPr>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both"/>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gridSpan w:val="2"/>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r>
      <w:tr w:rsidR="00492BE1" w:rsidRPr="00492BE1" w:rsidTr="00492BE1">
        <w:trPr>
          <w:tblCellSpacing w:w="7" w:type="dxa"/>
          <w:jc w:val="center"/>
        </w:trPr>
        <w:tc>
          <w:tcPr>
            <w:tcW w:w="0" w:type="auto"/>
            <w:vMerge w:val="restart"/>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7.0</w:t>
            </w:r>
          </w:p>
        </w:tc>
        <w:tc>
          <w:tcPr>
            <w:tcW w:w="0" w:type="auto"/>
            <w:vMerge w:val="restart"/>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03.007.00</w:t>
            </w:r>
          </w:p>
        </w:tc>
        <w:tc>
          <w:tcPr>
            <w:tcW w:w="0" w:type="auto"/>
            <w:vMerge w:val="restart"/>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2202.10.00</w:t>
            </w:r>
          </w:p>
        </w:tc>
        <w:tc>
          <w:tcPr>
            <w:tcW w:w="0" w:type="auto"/>
            <w:vMerge w:val="restart"/>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both"/>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Águas minerais, potáveis ou naturais, gasosas ou não, inclusive gaseificadas ou aromatizadas artificialmente,refrescos</w:t>
            </w:r>
          </w:p>
        </w:tc>
        <w:tc>
          <w:tcPr>
            <w:tcW w:w="0" w:type="auto"/>
            <w:vMerge w:val="restart"/>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3.3</w:t>
            </w:r>
          </w:p>
        </w:tc>
        <w:tc>
          <w:tcPr>
            <w:tcW w:w="0" w:type="auto"/>
            <w:gridSpan w:val="2"/>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Refrescos</w:t>
            </w:r>
          </w:p>
        </w:tc>
      </w:tr>
      <w:tr w:rsidR="00492BE1" w:rsidRPr="00492BE1" w:rsidTr="00492BE1">
        <w:trPr>
          <w:tblCellSpacing w:w="7" w:type="dxa"/>
          <w:jc w:val="center"/>
        </w:trPr>
        <w:tc>
          <w:tcPr>
            <w:tcW w:w="0" w:type="auto"/>
            <w:vMerge/>
            <w:shd w:val="clear" w:color="auto" w:fill="E7E7E7"/>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7E7E7"/>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7E7E7"/>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7E7E7"/>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7E7E7"/>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45</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45</w:t>
            </w:r>
          </w:p>
        </w:tc>
      </w:tr>
      <w:tr w:rsidR="00492BE1" w:rsidRPr="00492BE1" w:rsidTr="00492BE1">
        <w:trPr>
          <w:tblCellSpacing w:w="7" w:type="dxa"/>
          <w:jc w:val="center"/>
        </w:trPr>
        <w:tc>
          <w:tcPr>
            <w:tcW w:w="0" w:type="auto"/>
            <w:vMerge/>
            <w:shd w:val="clear" w:color="auto" w:fill="EEEEEE"/>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EEEEE"/>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EEEEE"/>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EEEEE"/>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EEEEE"/>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gridSpan w:val="2"/>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Demais produtos</w:t>
            </w:r>
          </w:p>
        </w:tc>
      </w:tr>
      <w:tr w:rsidR="00492BE1" w:rsidRPr="00492BE1" w:rsidTr="00492BE1">
        <w:trPr>
          <w:tblCellSpacing w:w="7" w:type="dxa"/>
          <w:jc w:val="center"/>
        </w:trPr>
        <w:tc>
          <w:tcPr>
            <w:tcW w:w="0" w:type="auto"/>
            <w:vMerge/>
            <w:shd w:val="clear" w:color="auto" w:fill="E7E7E7"/>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7E7E7"/>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7E7E7"/>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7E7E7"/>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vMerge/>
            <w:shd w:val="clear" w:color="auto" w:fill="E7E7E7"/>
            <w:vAlign w:val="center"/>
            <w:hideMark/>
          </w:tcPr>
          <w:p w:rsidR="00492BE1" w:rsidRPr="00492BE1" w:rsidRDefault="00492BE1" w:rsidP="00492BE1">
            <w:pPr>
              <w:spacing w:after="0" w:line="240" w:lineRule="auto"/>
              <w:rPr>
                <w:rFonts w:ascii="Arial" w:eastAsia="Times New Roman" w:hAnsi="Arial" w:cs="Arial"/>
                <w:color w:val="040404"/>
                <w:sz w:val="24"/>
                <w:szCs w:val="24"/>
                <w:lang w:eastAsia="pt-BR"/>
              </w:rPr>
            </w:pP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295,35</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295,35</w:t>
            </w:r>
          </w:p>
        </w:tc>
      </w:tr>
      <w:tr w:rsidR="00492BE1" w:rsidRPr="00492BE1" w:rsidTr="00492BE1">
        <w:trPr>
          <w:tblCellSpacing w:w="7" w:type="dxa"/>
          <w:jc w:val="center"/>
        </w:trPr>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both"/>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gridSpan w:val="2"/>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r>
    </w:tbl>
    <w:p w:rsidR="00492BE1" w:rsidRPr="00492BE1" w:rsidRDefault="00492BE1" w:rsidP="00492BE1">
      <w:pPr>
        <w:spacing w:before="100" w:beforeAutospacing="1" w:after="100" w:afterAutospacing="1" w:line="240" w:lineRule="auto"/>
        <w:jc w:val="right"/>
        <w:rPr>
          <w:rFonts w:ascii="Arial" w:eastAsia="Times New Roman" w:hAnsi="Arial" w:cs="Arial"/>
          <w:sz w:val="24"/>
          <w:szCs w:val="24"/>
          <w:lang w:eastAsia="pt-BR"/>
        </w:rPr>
      </w:pPr>
      <w:r w:rsidRPr="00492BE1">
        <w:rPr>
          <w:rFonts w:ascii="Arial" w:eastAsia="Times New Roman" w:hAnsi="Arial" w:cs="Arial"/>
          <w:sz w:val="24"/>
          <w:szCs w:val="24"/>
          <w:lang w:eastAsia="pt-BR"/>
        </w:rPr>
        <w:t>” (nr)</w:t>
      </w:r>
    </w:p>
    <w:p w:rsidR="00492BE1" w:rsidRDefault="00492BE1" w:rsidP="00492BE1">
      <w:pPr>
        <w:spacing w:before="100" w:beforeAutospacing="1" w:after="100" w:afterAutospacing="1" w:line="240" w:lineRule="auto"/>
        <w:rPr>
          <w:rFonts w:ascii="Arial" w:eastAsia="Times New Roman" w:hAnsi="Arial" w:cs="Arial"/>
          <w:b/>
          <w:bCs/>
          <w:sz w:val="24"/>
          <w:szCs w:val="24"/>
          <w:lang w:eastAsia="pt-BR"/>
        </w:rPr>
      </w:pPr>
    </w:p>
    <w:p w:rsidR="00492BE1" w:rsidRDefault="00492BE1" w:rsidP="00492BE1">
      <w:pPr>
        <w:spacing w:before="100" w:beforeAutospacing="1" w:after="100" w:afterAutospacing="1" w:line="240" w:lineRule="auto"/>
        <w:rPr>
          <w:rFonts w:ascii="Arial" w:eastAsia="Times New Roman" w:hAnsi="Arial" w:cs="Arial"/>
          <w:b/>
          <w:bCs/>
          <w:sz w:val="24"/>
          <w:szCs w:val="24"/>
          <w:lang w:eastAsia="pt-BR"/>
        </w:rPr>
      </w:pPr>
    </w:p>
    <w:p w:rsidR="00492BE1" w:rsidRDefault="00492BE1" w:rsidP="00492BE1">
      <w:pPr>
        <w:spacing w:before="100" w:beforeAutospacing="1" w:after="100" w:afterAutospacing="1" w:line="240" w:lineRule="auto"/>
        <w:rPr>
          <w:rFonts w:ascii="Arial" w:eastAsia="Times New Roman" w:hAnsi="Arial" w:cs="Arial"/>
          <w:b/>
          <w:bCs/>
          <w:sz w:val="24"/>
          <w:szCs w:val="24"/>
          <w:lang w:eastAsia="pt-BR"/>
        </w:rPr>
      </w:pPr>
    </w:p>
    <w:p w:rsidR="00492BE1" w:rsidRDefault="00492BE1" w:rsidP="00492BE1">
      <w:pPr>
        <w:spacing w:before="100" w:beforeAutospacing="1" w:after="100" w:afterAutospacing="1" w:line="240" w:lineRule="auto"/>
        <w:rPr>
          <w:rFonts w:ascii="Arial" w:eastAsia="Times New Roman" w:hAnsi="Arial" w:cs="Arial"/>
          <w:b/>
          <w:bCs/>
          <w:sz w:val="24"/>
          <w:szCs w:val="24"/>
          <w:lang w:eastAsia="pt-BR"/>
        </w:rPr>
      </w:pPr>
    </w:p>
    <w:p w:rsidR="00492BE1" w:rsidRPr="00492BE1" w:rsidRDefault="00492BE1" w:rsidP="00492BE1">
      <w:pPr>
        <w:spacing w:before="100" w:beforeAutospacing="1" w:after="100" w:afterAutospacing="1" w:line="240" w:lineRule="auto"/>
        <w:rPr>
          <w:rFonts w:ascii="Arial" w:eastAsia="Times New Roman" w:hAnsi="Arial" w:cs="Arial"/>
          <w:sz w:val="24"/>
          <w:szCs w:val="24"/>
          <w:lang w:eastAsia="pt-BR"/>
        </w:rPr>
      </w:pPr>
      <w:r w:rsidRPr="00492BE1">
        <w:rPr>
          <w:rFonts w:ascii="Arial" w:eastAsia="Times New Roman" w:hAnsi="Arial" w:cs="Arial"/>
          <w:b/>
          <w:bCs/>
          <w:sz w:val="24"/>
          <w:szCs w:val="24"/>
          <w:lang w:eastAsia="pt-BR"/>
        </w:rPr>
        <w:lastRenderedPageBreak/>
        <w:t>Art. 9º</w:t>
      </w:r>
      <w:r w:rsidRPr="00492BE1">
        <w:rPr>
          <w:rFonts w:ascii="Arial" w:eastAsia="Times New Roman" w:hAnsi="Arial" w:cs="Arial"/>
          <w:sz w:val="24"/>
          <w:szCs w:val="24"/>
          <w:lang w:eastAsia="pt-BR"/>
        </w:rPr>
        <w:t>  O item 27.0 do capítulo 10 da Parte 2 do Anexo XV do RICMS passa a vigorar com as seguintes alterações:</w:t>
      </w:r>
    </w:p>
    <w:p w:rsidR="00492BE1" w:rsidRPr="00492BE1" w:rsidRDefault="00492BE1" w:rsidP="00492BE1">
      <w:pPr>
        <w:spacing w:before="100" w:beforeAutospacing="1" w:after="100" w:afterAutospacing="1" w:line="240" w:lineRule="auto"/>
        <w:rPr>
          <w:rFonts w:ascii="Arial" w:eastAsia="Times New Roman" w:hAnsi="Arial" w:cs="Arial"/>
          <w:sz w:val="24"/>
          <w:szCs w:val="24"/>
          <w:lang w:eastAsia="pt-BR"/>
        </w:rPr>
      </w:pPr>
      <w:r w:rsidRPr="00492BE1">
        <w:rPr>
          <w:rFonts w:ascii="Arial" w:eastAsia="Times New Roman" w:hAnsi="Arial" w:cs="Arial"/>
          <w:sz w:val="24"/>
          <w:szCs w:val="24"/>
          <w:lang w:eastAsia="pt-BR"/>
        </w:rPr>
        <w:t>“</w:t>
      </w:r>
    </w:p>
    <w:tbl>
      <w:tblPr>
        <w:tblW w:w="5000" w:type="pct"/>
        <w:jc w:val="center"/>
        <w:tblCellSpacing w:w="7" w:type="dxa"/>
        <w:tblCellMar>
          <w:left w:w="0" w:type="dxa"/>
          <w:right w:w="0" w:type="dxa"/>
        </w:tblCellMar>
        <w:tblLook w:val="04A0" w:firstRow="1" w:lastRow="0" w:firstColumn="1" w:lastColumn="0" w:noHBand="0" w:noVBand="1"/>
      </w:tblPr>
      <w:tblGrid>
        <w:gridCol w:w="735"/>
        <w:gridCol w:w="1222"/>
        <w:gridCol w:w="1101"/>
        <w:gridCol w:w="2988"/>
        <w:gridCol w:w="1848"/>
        <w:gridCol w:w="778"/>
      </w:tblGrid>
      <w:tr w:rsidR="00492BE1" w:rsidRPr="00492BE1" w:rsidTr="00492BE1">
        <w:trPr>
          <w:tblCellSpacing w:w="7" w:type="dxa"/>
          <w:jc w:val="center"/>
        </w:trPr>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ITEM</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CEST</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NBM/SH</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DESCRIÇÃO</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ÂMBITO DE APLICAÇÃO</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MVA (%)</w:t>
            </w:r>
          </w:p>
        </w:tc>
      </w:tr>
      <w:tr w:rsidR="00492BE1" w:rsidRPr="00492BE1" w:rsidTr="00492BE1">
        <w:trPr>
          <w:tblCellSpacing w:w="7" w:type="dxa"/>
          <w:jc w:val="center"/>
        </w:trPr>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both"/>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r>
      <w:tr w:rsidR="00492BE1" w:rsidRPr="00492BE1" w:rsidTr="00492BE1">
        <w:trPr>
          <w:tblCellSpacing w:w="7" w:type="dxa"/>
          <w:jc w:val="center"/>
        </w:trPr>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27.0</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10.027.00</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6904</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both"/>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Tijolos para construção, tijoleiras, tapa-vigas e produtos semelhantes, de cerâmica</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10.5</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r>
      <w:tr w:rsidR="00492BE1" w:rsidRPr="00492BE1" w:rsidTr="00492BE1">
        <w:trPr>
          <w:tblCellSpacing w:w="7" w:type="dxa"/>
          <w:jc w:val="center"/>
        </w:trPr>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both"/>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r>
    </w:tbl>
    <w:p w:rsidR="00492BE1" w:rsidRPr="00492BE1" w:rsidRDefault="00492BE1" w:rsidP="00492BE1">
      <w:pPr>
        <w:spacing w:before="100" w:beforeAutospacing="1" w:after="100" w:afterAutospacing="1" w:line="240" w:lineRule="auto"/>
        <w:jc w:val="right"/>
        <w:rPr>
          <w:rFonts w:ascii="Arial" w:eastAsia="Times New Roman" w:hAnsi="Arial" w:cs="Arial"/>
          <w:sz w:val="24"/>
          <w:szCs w:val="24"/>
          <w:lang w:eastAsia="pt-BR"/>
        </w:rPr>
      </w:pPr>
      <w:r w:rsidRPr="00492BE1">
        <w:rPr>
          <w:rFonts w:ascii="Arial" w:eastAsia="Times New Roman" w:hAnsi="Arial" w:cs="Arial"/>
          <w:sz w:val="24"/>
          <w:szCs w:val="24"/>
          <w:lang w:eastAsia="pt-BR"/>
        </w:rPr>
        <w:t>” (nr)</w:t>
      </w:r>
    </w:p>
    <w:p w:rsidR="00492BE1" w:rsidRPr="00492BE1" w:rsidRDefault="00492BE1" w:rsidP="00492BE1">
      <w:pPr>
        <w:spacing w:before="100" w:beforeAutospacing="1" w:after="100" w:afterAutospacing="1" w:line="240" w:lineRule="auto"/>
        <w:rPr>
          <w:rFonts w:ascii="Arial" w:eastAsia="Times New Roman" w:hAnsi="Arial" w:cs="Arial"/>
          <w:sz w:val="24"/>
          <w:szCs w:val="24"/>
          <w:lang w:eastAsia="pt-BR"/>
        </w:rPr>
      </w:pPr>
      <w:r w:rsidRPr="00492BE1">
        <w:rPr>
          <w:rFonts w:ascii="Arial" w:eastAsia="Times New Roman" w:hAnsi="Arial" w:cs="Arial"/>
          <w:b/>
          <w:bCs/>
          <w:sz w:val="24"/>
          <w:szCs w:val="24"/>
          <w:lang w:eastAsia="pt-BR"/>
        </w:rPr>
        <w:t>Art. 10.</w:t>
      </w:r>
      <w:r w:rsidRPr="00492BE1">
        <w:rPr>
          <w:rFonts w:ascii="Arial" w:eastAsia="Times New Roman" w:hAnsi="Arial" w:cs="Arial"/>
          <w:sz w:val="24"/>
          <w:szCs w:val="24"/>
          <w:lang w:eastAsia="pt-BR"/>
        </w:rPr>
        <w:t>  Os itens 85.0 e 86.0 do capítulo 17 da Parte 2 do Anexo XV do RICMS passam a vigorar com as seguintes alterações:</w:t>
      </w:r>
    </w:p>
    <w:p w:rsidR="00492BE1" w:rsidRPr="00492BE1" w:rsidRDefault="00492BE1" w:rsidP="00492BE1">
      <w:pPr>
        <w:spacing w:before="100" w:beforeAutospacing="1" w:after="100" w:afterAutospacing="1" w:line="240" w:lineRule="auto"/>
        <w:rPr>
          <w:rFonts w:ascii="Arial" w:eastAsia="Times New Roman" w:hAnsi="Arial" w:cs="Arial"/>
          <w:sz w:val="24"/>
          <w:szCs w:val="24"/>
          <w:lang w:eastAsia="pt-BR"/>
        </w:rPr>
      </w:pPr>
      <w:r w:rsidRPr="00492BE1">
        <w:rPr>
          <w:rFonts w:ascii="Arial" w:eastAsia="Times New Roman" w:hAnsi="Arial" w:cs="Arial"/>
          <w:sz w:val="24"/>
          <w:szCs w:val="24"/>
          <w:lang w:eastAsia="pt-BR"/>
        </w:rPr>
        <w:t>“</w:t>
      </w:r>
    </w:p>
    <w:tbl>
      <w:tblPr>
        <w:tblW w:w="5000" w:type="pct"/>
        <w:jc w:val="center"/>
        <w:tblCellSpacing w:w="7" w:type="dxa"/>
        <w:tblCellMar>
          <w:left w:w="0" w:type="dxa"/>
          <w:right w:w="0" w:type="dxa"/>
        </w:tblCellMar>
        <w:tblLook w:val="04A0" w:firstRow="1" w:lastRow="0" w:firstColumn="1" w:lastColumn="0" w:noHBand="0" w:noVBand="1"/>
      </w:tblPr>
      <w:tblGrid>
        <w:gridCol w:w="735"/>
        <w:gridCol w:w="1222"/>
        <w:gridCol w:w="1356"/>
        <w:gridCol w:w="2891"/>
        <w:gridCol w:w="1727"/>
        <w:gridCol w:w="741"/>
      </w:tblGrid>
      <w:tr w:rsidR="00492BE1" w:rsidRPr="00492BE1" w:rsidTr="00492BE1">
        <w:trPr>
          <w:tblCellSpacing w:w="7" w:type="dxa"/>
          <w:jc w:val="center"/>
        </w:trPr>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ITEM</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CEST</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NBM/SH</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DESCRIÇÃO</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ÂMBITO DE APLICAÇÃO</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b/>
                <w:bCs/>
                <w:color w:val="040404"/>
                <w:sz w:val="24"/>
                <w:szCs w:val="24"/>
                <w:lang w:eastAsia="pt-BR"/>
              </w:rPr>
            </w:pPr>
            <w:r w:rsidRPr="00492BE1">
              <w:rPr>
                <w:rFonts w:ascii="Arial" w:eastAsia="Times New Roman" w:hAnsi="Arial" w:cs="Arial"/>
                <w:b/>
                <w:bCs/>
                <w:color w:val="040404"/>
                <w:sz w:val="24"/>
                <w:szCs w:val="24"/>
                <w:lang w:eastAsia="pt-BR"/>
              </w:rPr>
              <w:t>MVA (%)</w:t>
            </w:r>
          </w:p>
        </w:tc>
      </w:tr>
      <w:tr w:rsidR="00492BE1" w:rsidRPr="00492BE1" w:rsidTr="00492BE1">
        <w:trPr>
          <w:tblCellSpacing w:w="7" w:type="dxa"/>
          <w:jc w:val="center"/>
        </w:trPr>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both"/>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r>
      <w:tr w:rsidR="00492BE1" w:rsidRPr="00492BE1" w:rsidTr="00492BE1">
        <w:trPr>
          <w:tblCellSpacing w:w="7" w:type="dxa"/>
          <w:jc w:val="center"/>
        </w:trPr>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85.0</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17.085.00</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0204</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both"/>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Carnes de animais das espécies caprina, frescas, refrigeradas ou congeladas</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17.3</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15</w:t>
            </w:r>
          </w:p>
        </w:tc>
      </w:tr>
      <w:tr w:rsidR="00492BE1" w:rsidRPr="00492BE1" w:rsidTr="00492BE1">
        <w:trPr>
          <w:tblCellSpacing w:w="7" w:type="dxa"/>
          <w:jc w:val="center"/>
        </w:trPr>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86.0</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17.086.00</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0210.99.00</w:t>
            </w:r>
          </w:p>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1502.10.19</w:t>
            </w:r>
          </w:p>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1502.90.00</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both"/>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Carnes e demais produtos comestíveis frescos, resfriados, congelados, salgados ou salmourados resultantes do abate de caprinos</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17.3</w:t>
            </w:r>
          </w:p>
        </w:tc>
        <w:tc>
          <w:tcPr>
            <w:tcW w:w="0" w:type="auto"/>
            <w:shd w:val="clear" w:color="auto" w:fill="EEEEEE"/>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15</w:t>
            </w:r>
          </w:p>
        </w:tc>
      </w:tr>
      <w:tr w:rsidR="00492BE1" w:rsidRPr="00492BE1" w:rsidTr="00492BE1">
        <w:trPr>
          <w:tblCellSpacing w:w="7" w:type="dxa"/>
          <w:jc w:val="center"/>
        </w:trPr>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both"/>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c>
          <w:tcPr>
            <w:tcW w:w="0" w:type="auto"/>
            <w:shd w:val="clear" w:color="auto" w:fill="E7E7E7"/>
            <w:tcMar>
              <w:top w:w="0" w:type="dxa"/>
              <w:left w:w="70" w:type="dxa"/>
              <w:bottom w:w="0" w:type="dxa"/>
              <w:right w:w="70" w:type="dxa"/>
            </w:tcMar>
            <w:vAlign w:val="center"/>
            <w:hideMark/>
          </w:tcPr>
          <w:p w:rsidR="00492BE1" w:rsidRPr="00492BE1" w:rsidRDefault="00492BE1" w:rsidP="00492BE1">
            <w:pPr>
              <w:spacing w:before="100" w:beforeAutospacing="1" w:after="100" w:afterAutospacing="1" w:line="240" w:lineRule="atLeast"/>
              <w:jc w:val="center"/>
              <w:rPr>
                <w:rFonts w:ascii="Arial" w:eastAsia="Times New Roman" w:hAnsi="Arial" w:cs="Arial"/>
                <w:color w:val="040404"/>
                <w:sz w:val="24"/>
                <w:szCs w:val="24"/>
                <w:lang w:eastAsia="pt-BR"/>
              </w:rPr>
            </w:pPr>
            <w:r w:rsidRPr="00492BE1">
              <w:rPr>
                <w:rFonts w:ascii="Arial" w:eastAsia="Times New Roman" w:hAnsi="Arial" w:cs="Arial"/>
                <w:color w:val="040404"/>
                <w:sz w:val="24"/>
                <w:szCs w:val="24"/>
                <w:lang w:eastAsia="pt-BR"/>
              </w:rPr>
              <w:t>(..)</w:t>
            </w:r>
          </w:p>
        </w:tc>
      </w:tr>
    </w:tbl>
    <w:p w:rsidR="00492BE1" w:rsidRPr="00492BE1" w:rsidRDefault="00492BE1" w:rsidP="00492BE1">
      <w:pPr>
        <w:spacing w:before="100" w:beforeAutospacing="1" w:after="100" w:afterAutospacing="1" w:line="240" w:lineRule="auto"/>
        <w:jc w:val="right"/>
        <w:rPr>
          <w:rFonts w:ascii="Arial" w:eastAsia="Times New Roman" w:hAnsi="Arial" w:cs="Arial"/>
          <w:sz w:val="24"/>
          <w:szCs w:val="24"/>
          <w:lang w:eastAsia="pt-BR"/>
        </w:rPr>
      </w:pPr>
      <w:r w:rsidRPr="00492BE1">
        <w:rPr>
          <w:rFonts w:ascii="Arial" w:eastAsia="Times New Roman" w:hAnsi="Arial" w:cs="Arial"/>
          <w:sz w:val="24"/>
          <w:szCs w:val="24"/>
          <w:lang w:eastAsia="pt-BR"/>
        </w:rPr>
        <w:t>” (nr)</w:t>
      </w:r>
    </w:p>
    <w:p w:rsidR="00492BE1" w:rsidRPr="00492BE1" w:rsidRDefault="00492BE1" w:rsidP="00492BE1">
      <w:pPr>
        <w:spacing w:before="100" w:beforeAutospacing="1" w:after="100" w:afterAutospacing="1" w:line="240" w:lineRule="auto"/>
        <w:rPr>
          <w:rFonts w:ascii="Arial" w:eastAsia="Times New Roman" w:hAnsi="Arial" w:cs="Arial"/>
          <w:sz w:val="24"/>
          <w:szCs w:val="24"/>
          <w:lang w:eastAsia="pt-BR"/>
        </w:rPr>
      </w:pPr>
      <w:r w:rsidRPr="00492BE1">
        <w:rPr>
          <w:rFonts w:ascii="Arial" w:eastAsia="Times New Roman" w:hAnsi="Arial" w:cs="Arial"/>
          <w:b/>
          <w:bCs/>
          <w:sz w:val="24"/>
          <w:szCs w:val="24"/>
          <w:lang w:eastAsia="pt-BR"/>
        </w:rPr>
        <w:t>Art. 11.</w:t>
      </w:r>
      <w:r w:rsidRPr="00492BE1">
        <w:rPr>
          <w:rFonts w:ascii="Arial" w:eastAsia="Times New Roman" w:hAnsi="Arial" w:cs="Arial"/>
          <w:sz w:val="24"/>
          <w:szCs w:val="24"/>
          <w:lang w:eastAsia="pt-BR"/>
        </w:rPr>
        <w:t>  Ficam revogados os incisos I e II do § 12 do art. 43 do Regulamento do ICMS (RICMS), aprovado pelo Decreto nº 43.080, de 13 de dezembro de 2002.</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b/>
          <w:bCs/>
          <w:sz w:val="24"/>
          <w:szCs w:val="24"/>
          <w:lang w:eastAsia="pt-BR"/>
        </w:rPr>
        <w:t>Art. 12.</w:t>
      </w:r>
      <w:r w:rsidRPr="00492BE1">
        <w:rPr>
          <w:rFonts w:ascii="Arial" w:eastAsia="Times New Roman" w:hAnsi="Arial" w:cs="Arial"/>
          <w:sz w:val="24"/>
          <w:szCs w:val="24"/>
          <w:lang w:eastAsia="pt-BR"/>
        </w:rPr>
        <w:t> Este Decreto entra em vigor na data de sua publicação, produzindo efeitos:</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I – a partir de 1º de janeiro de 2016, relativamente aos arts. 1º, 6º e 8º;</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II – a partir de 1º de fevereiro de 2016, relativamente aos arts. 9º e 10;</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lastRenderedPageBreak/>
        <w:t>III – a partir de 19 de fevereiro de 2016, relativamente ao arts. 5º e 7º e à revogação do inciso I do § 12 do art. 43 do RICMS;</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IV – a partir do primeiro dia do mês subsequente ao da publicação, relativamente ao art. 4º.</w:t>
      </w:r>
    </w:p>
    <w:p w:rsidR="00492BE1" w:rsidRPr="00492BE1" w:rsidRDefault="00492BE1" w:rsidP="00492BE1">
      <w:pPr>
        <w:spacing w:before="100" w:beforeAutospacing="1" w:after="100" w:afterAutospacing="1" w:line="240" w:lineRule="auto"/>
        <w:jc w:val="both"/>
        <w:rPr>
          <w:rFonts w:ascii="Arial" w:eastAsia="Times New Roman" w:hAnsi="Arial" w:cs="Arial"/>
          <w:sz w:val="24"/>
          <w:szCs w:val="24"/>
          <w:lang w:eastAsia="pt-BR"/>
        </w:rPr>
      </w:pPr>
      <w:r w:rsidRPr="00492BE1">
        <w:rPr>
          <w:rFonts w:ascii="Arial" w:eastAsia="Times New Roman" w:hAnsi="Arial" w:cs="Arial"/>
          <w:sz w:val="24"/>
          <w:szCs w:val="24"/>
          <w:lang w:eastAsia="pt-BR"/>
        </w:rPr>
        <w:t>Palácio Tiradentes, em Belo Horizonte, aos 16 de junho de 2016; 228° da Inconfidência Mineira e 195º da Independência do Brasil.</w:t>
      </w:r>
    </w:p>
    <w:p w:rsidR="00492BE1" w:rsidRPr="00492BE1" w:rsidRDefault="00492BE1" w:rsidP="00492BE1">
      <w:pPr>
        <w:spacing w:before="100" w:beforeAutospacing="1" w:after="100" w:afterAutospacing="1" w:line="240" w:lineRule="auto"/>
        <w:jc w:val="center"/>
        <w:rPr>
          <w:rFonts w:ascii="Arial" w:eastAsia="Times New Roman" w:hAnsi="Arial" w:cs="Arial"/>
          <w:sz w:val="24"/>
          <w:szCs w:val="24"/>
          <w:lang w:eastAsia="pt-BR"/>
        </w:rPr>
      </w:pPr>
      <w:r w:rsidRPr="00492BE1">
        <w:rPr>
          <w:rFonts w:ascii="Arial" w:eastAsia="Times New Roman" w:hAnsi="Arial" w:cs="Arial"/>
          <w:sz w:val="24"/>
          <w:szCs w:val="24"/>
          <w:lang w:eastAsia="pt-BR"/>
        </w:rPr>
        <w:t>FERNANDO DAMATA PIMENTEL</w:t>
      </w:r>
    </w:p>
    <w:p w:rsidR="00492BE1" w:rsidRPr="00492BE1" w:rsidRDefault="00492BE1" w:rsidP="00492BE1">
      <w:pPr>
        <w:spacing w:before="100" w:beforeAutospacing="1" w:after="100" w:afterAutospacing="1" w:line="240" w:lineRule="auto"/>
        <w:jc w:val="right"/>
        <w:rPr>
          <w:rFonts w:ascii="Arial" w:eastAsia="Times New Roman" w:hAnsi="Arial" w:cs="Arial"/>
          <w:sz w:val="24"/>
          <w:szCs w:val="24"/>
          <w:lang w:eastAsia="pt-BR"/>
        </w:rPr>
      </w:pPr>
      <w:r w:rsidRPr="00492BE1">
        <w:rPr>
          <w:rFonts w:ascii="Arial" w:eastAsia="Times New Roman" w:hAnsi="Arial" w:cs="Arial"/>
          <w:noProof/>
          <w:color w:val="0000FF"/>
          <w:sz w:val="24"/>
          <w:szCs w:val="24"/>
          <w:lang w:eastAsia="pt-BR"/>
        </w:rPr>
        <w:drawing>
          <wp:inline distT="0" distB="0" distL="0" distR="0" wp14:anchorId="6E5145A9" wp14:editId="3EEA5084">
            <wp:extent cx="273050" cy="273050"/>
            <wp:effectExtent l="0" t="0" r="0" b="0"/>
            <wp:docPr id="2" name="ghost" descr="v o l t a 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ost" descr="v o l t a 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8504"/>
      </w:tblGrid>
      <w:tr w:rsidR="00492BE1" w:rsidRPr="00492BE1" w:rsidTr="00492BE1">
        <w:tc>
          <w:tcPr>
            <w:tcW w:w="10800" w:type="dxa"/>
            <w:shd w:val="clear" w:color="auto" w:fill="FFFFFF"/>
            <w:hideMark/>
          </w:tcPr>
          <w:p w:rsidR="00492BE1" w:rsidRPr="00492BE1" w:rsidRDefault="00492BE1" w:rsidP="00492BE1">
            <w:pPr>
              <w:spacing w:after="0" w:line="240" w:lineRule="atLeast"/>
              <w:rPr>
                <w:rFonts w:ascii="Arial" w:eastAsia="Times New Roman" w:hAnsi="Arial" w:cs="Arial"/>
                <w:color w:val="000000"/>
                <w:sz w:val="24"/>
                <w:szCs w:val="24"/>
                <w:lang w:eastAsia="pt-BR"/>
              </w:rPr>
            </w:pPr>
          </w:p>
        </w:tc>
      </w:tr>
    </w:tbl>
    <w:p w:rsidR="00534005" w:rsidRPr="00492BE1" w:rsidRDefault="00534005">
      <w:pPr>
        <w:rPr>
          <w:rFonts w:ascii="Arial" w:hAnsi="Arial" w:cs="Arial"/>
          <w:sz w:val="24"/>
          <w:szCs w:val="24"/>
        </w:rPr>
      </w:pPr>
    </w:p>
    <w:sectPr w:rsidR="00534005" w:rsidRPr="00492B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BE1"/>
    <w:rsid w:val="00087FF3"/>
    <w:rsid w:val="00492BE1"/>
    <w:rsid w:val="005340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92B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2B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92B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2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663962">
      <w:bodyDiv w:val="1"/>
      <w:marLeft w:val="0"/>
      <w:marRight w:val="0"/>
      <w:marTop w:val="0"/>
      <w:marBottom w:val="0"/>
      <w:divBdr>
        <w:top w:val="none" w:sz="0" w:space="0" w:color="auto"/>
        <w:left w:val="none" w:sz="0" w:space="0" w:color="auto"/>
        <w:bottom w:val="none" w:sz="0" w:space="0" w:color="auto"/>
        <w:right w:val="none" w:sz="0" w:space="0" w:color="auto"/>
      </w:divBdr>
      <w:divsChild>
        <w:div w:id="668950922">
          <w:marLeft w:val="0"/>
          <w:marRight w:val="0"/>
          <w:marTop w:val="0"/>
          <w:marBottom w:val="0"/>
          <w:divBdr>
            <w:top w:val="none" w:sz="0" w:space="0" w:color="auto"/>
            <w:left w:val="none" w:sz="0" w:space="0" w:color="auto"/>
            <w:bottom w:val="none" w:sz="0" w:space="0" w:color="auto"/>
            <w:right w:val="none" w:sz="0" w:space="0" w:color="auto"/>
          </w:divBdr>
        </w:div>
      </w:divsChild>
    </w:div>
    <w:div w:id="1640725780">
      <w:bodyDiv w:val="1"/>
      <w:marLeft w:val="0"/>
      <w:marRight w:val="0"/>
      <w:marTop w:val="0"/>
      <w:marBottom w:val="0"/>
      <w:divBdr>
        <w:top w:val="none" w:sz="0" w:space="0" w:color="auto"/>
        <w:left w:val="none" w:sz="0" w:space="0" w:color="auto"/>
        <w:bottom w:val="none" w:sz="0" w:space="0" w:color="auto"/>
        <w:right w:val="none" w:sz="0" w:space="0" w:color="auto"/>
      </w:divBdr>
      <w:divsChild>
        <w:div w:id="2023623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javascript:history.back()"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6194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Betti</dc:creator>
  <cp:lastModifiedBy>Usuario</cp:lastModifiedBy>
  <cp:revision>2</cp:revision>
  <dcterms:created xsi:type="dcterms:W3CDTF">2016-06-22T16:36:00Z</dcterms:created>
  <dcterms:modified xsi:type="dcterms:W3CDTF">2016-06-22T16:36:00Z</dcterms:modified>
</cp:coreProperties>
</file>